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4C53" w:rsidRPr="00735173" w:rsidRDefault="00504C53" w:rsidP="002D25AA">
      <w:pPr>
        <w:pStyle w:val="20"/>
        <w:shd w:val="clear" w:color="auto" w:fill="auto"/>
        <w:spacing w:after="0" w:line="240" w:lineRule="auto"/>
        <w:ind w:firstLine="709"/>
        <w:rPr>
          <w:rFonts w:ascii="Times New Roman" w:hAnsi="Times New Roman" w:cs="Times New Roman"/>
          <w:b/>
          <w:bCs/>
          <w:sz w:val="24"/>
          <w:szCs w:val="24"/>
        </w:rPr>
      </w:pPr>
      <w:r w:rsidRPr="007351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173">
        <w:rPr>
          <w:rFonts w:ascii="Times New Roman" w:hAnsi="Times New Roman" w:cs="Times New Roman"/>
          <w:b/>
          <w:bCs/>
          <w:sz w:val="24"/>
          <w:szCs w:val="24"/>
        </w:rPr>
        <w:t>Ответственность за немедицинское потребление наркотиков.</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Ответственность за незаконный оборот наркотических веществ и их аналогов сегодня в нашей стране предусмотрена не только Кодексом Российской Федерации об административных правонарушениях (далее - КоАП РФ), но и, конечно, Уголовным кодексом Российской Федерации (далее - УК РФ).</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Статья 6,8 КоАП РФ носит название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Эта норма 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Примечание к этой статье гласит, что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Аналоги наркотических средств и психотропных веществ - это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Статья 6.13 КоАП РФ закрепляет ответственность за пропаганду либо незаконную рекламу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 xml:space="preserve">Статьей 6.16 КоАП РФ установлена административная ответственность за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w:t>
      </w:r>
      <w:r w:rsidRPr="00735173">
        <w:rPr>
          <w:rFonts w:ascii="Times New Roman" w:hAnsi="Times New Roman" w:cs="Times New Roman"/>
          <w:sz w:val="24"/>
          <w:szCs w:val="24"/>
          <w:lang w:val="en-US"/>
        </w:rPr>
        <w:t>N</w:t>
      </w:r>
      <w:r w:rsidRPr="00735173">
        <w:rPr>
          <w:rFonts w:ascii="Times New Roman" w:hAnsi="Times New Roman" w:cs="Times New Roman"/>
          <w:sz w:val="24"/>
          <w:szCs w:val="24"/>
        </w:rPr>
        <w:t xml:space="preserve"> 681 прекурсоров наркотических средств или психотропных веществ или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w:t>
      </w:r>
    </w:p>
    <w:p w:rsidR="00504C53" w:rsidRPr="00735173" w:rsidRDefault="00504C53" w:rsidP="002D25AA">
      <w:pPr>
        <w:pStyle w:val="21"/>
        <w:shd w:val="clear" w:color="auto" w:fill="auto"/>
        <w:spacing w:before="0" w:line="269" w:lineRule="exact"/>
        <w:ind w:firstLine="709"/>
        <w:rPr>
          <w:rFonts w:ascii="Times New Roman" w:hAnsi="Times New Roman" w:cs="Times New Roman"/>
          <w:sz w:val="24"/>
          <w:szCs w:val="24"/>
        </w:rPr>
      </w:pPr>
      <w:r w:rsidRPr="00735173">
        <w:rPr>
          <w:rFonts w:ascii="Times New Roman" w:hAnsi="Times New Roman" w:cs="Times New Roman"/>
          <w:sz w:val="24"/>
          <w:szCs w:val="24"/>
        </w:rPr>
        <w:t>Глава 25 УК РФ содержит группу преступлений против здоровья населения и общественной нравственности.</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 xml:space="preserve">Статья 228 УК РФ закрепляет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в крупном размере,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w:t>
      </w:r>
      <w:r w:rsidRPr="00735173">
        <w:rPr>
          <w:rFonts w:ascii="Times New Roman" w:hAnsi="Times New Roman" w:cs="Times New Roman"/>
          <w:sz w:val="24"/>
          <w:szCs w:val="24"/>
        </w:rPr>
        <w:lastRenderedPageBreak/>
        <w:t>крупном размере.</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те же деяния, совершенные в особо крупном размере, образуют квалифицированный состав этого преступления. Как можно заметить, эта статья УК РФ схожа по объективной стороне со ст. 6.8 КоАП РФ. Уголовная ответственность соответственно наступит лишь тогда, когда будет иметь место признак крупности.</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При этом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средава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В правоприменительной деятельности под приобретением наркотических средств или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понимается их покупка, получение в качестве средства взаиморасчета за проделанную работу, оказанную услугу или в уплату долга, в обмен на другие товары и вещи, присвоение найденного и другое.</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Как приобретение следует рассматривать и сбор наркосодержащих растений с земельных участков, принадлежащих сельскохозяйственным и иным предприятиям, а также гражданам, если эти растения не высевались и не выращивались.</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Под хранением следует понимать любые действия, связанные с фактическим нахождением наркотических средств или психотропных веществ во владении виновного. Ответственность за хранение наступает независимо от его продолжительности.</w:t>
      </w:r>
    </w:p>
    <w:p w:rsidR="00504C53" w:rsidRPr="0073517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Перевозкой являются действия по перемещению наркотических средств или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 одного места в другое, в том числе в пределах одного и того же населенного пункта, совершенные с использованием любого вида транспортного средства.</w:t>
      </w:r>
    </w:p>
    <w:p w:rsidR="00504C53" w:rsidRDefault="00504C53" w:rsidP="002D25AA">
      <w:pPr>
        <w:pStyle w:val="21"/>
        <w:shd w:val="clear" w:color="auto" w:fill="auto"/>
        <w:spacing w:before="0" w:line="240" w:lineRule="auto"/>
        <w:ind w:firstLine="709"/>
        <w:rPr>
          <w:rFonts w:ascii="Times New Roman" w:hAnsi="Times New Roman" w:cs="Times New Roman"/>
          <w:sz w:val="24"/>
          <w:szCs w:val="24"/>
        </w:rPr>
      </w:pPr>
      <w:r w:rsidRPr="00735173">
        <w:rPr>
          <w:rFonts w:ascii="Times New Roman" w:hAnsi="Times New Roman" w:cs="Times New Roman"/>
          <w:sz w:val="24"/>
          <w:szCs w:val="24"/>
        </w:rPr>
        <w:t>Крупный и особо крупный размеры наркотических средств и психотропных веществ для целей этой статьи, а также ст. ст. 228.1, 229 и 229.1 УК РФ утверждаются Правительством Российской Федерации. При этом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r>
        <w:rPr>
          <w:rFonts w:ascii="Times New Roman" w:hAnsi="Times New Roman" w:cs="Times New Roman"/>
          <w:sz w:val="24"/>
          <w:szCs w:val="24"/>
        </w:rPr>
        <w:t>.</w:t>
      </w:r>
    </w:p>
    <w:p w:rsidR="0064265F" w:rsidRDefault="0064265F" w:rsidP="002D25AA">
      <w:pPr>
        <w:pStyle w:val="21"/>
        <w:shd w:val="clear" w:color="auto" w:fill="auto"/>
        <w:spacing w:before="0" w:line="240" w:lineRule="auto"/>
        <w:ind w:firstLine="709"/>
        <w:rPr>
          <w:rFonts w:ascii="Times New Roman" w:hAnsi="Times New Roman" w:cs="Times New Roman"/>
          <w:sz w:val="24"/>
          <w:szCs w:val="24"/>
        </w:rPr>
      </w:pPr>
    </w:p>
    <w:p w:rsidR="0064265F" w:rsidRDefault="0064265F" w:rsidP="002D25AA">
      <w:pPr>
        <w:pStyle w:val="21"/>
        <w:shd w:val="clear" w:color="auto" w:fill="auto"/>
        <w:spacing w:before="0" w:line="240" w:lineRule="auto"/>
        <w:ind w:firstLine="709"/>
        <w:rPr>
          <w:rFonts w:ascii="Times New Roman" w:hAnsi="Times New Roman" w:cs="Times New Roman"/>
          <w:sz w:val="24"/>
          <w:szCs w:val="24"/>
        </w:rPr>
      </w:pPr>
    </w:p>
    <w:p w:rsidR="0064265F" w:rsidRDefault="0064265F" w:rsidP="002D25AA">
      <w:pPr>
        <w:pStyle w:val="21"/>
        <w:shd w:val="clear" w:color="auto" w:fill="auto"/>
        <w:spacing w:before="0" w:line="240" w:lineRule="auto"/>
        <w:ind w:firstLine="709"/>
        <w:rPr>
          <w:rFonts w:ascii="Times New Roman" w:hAnsi="Times New Roman" w:cs="Times New Roman"/>
          <w:sz w:val="24"/>
          <w:szCs w:val="24"/>
        </w:rPr>
      </w:pPr>
    </w:p>
    <w:p w:rsidR="0064265F" w:rsidRDefault="0064265F" w:rsidP="002D25AA">
      <w:pPr>
        <w:pStyle w:val="21"/>
        <w:shd w:val="clear" w:color="auto" w:fill="auto"/>
        <w:spacing w:before="0" w:line="240" w:lineRule="auto"/>
        <w:ind w:firstLine="709"/>
        <w:rPr>
          <w:rFonts w:ascii="Times New Roman" w:hAnsi="Times New Roman" w:cs="Times New Roman"/>
          <w:sz w:val="24"/>
          <w:szCs w:val="24"/>
        </w:rPr>
      </w:pPr>
    </w:p>
    <w:p w:rsidR="002D25AA" w:rsidRDefault="002D25AA" w:rsidP="002D25AA">
      <w:pPr>
        <w:pStyle w:val="21"/>
        <w:shd w:val="clear" w:color="auto" w:fill="auto"/>
        <w:spacing w:before="0" w:line="240" w:lineRule="auto"/>
        <w:ind w:firstLine="709"/>
        <w:rPr>
          <w:rFonts w:ascii="Times New Roman" w:hAnsi="Times New Roman" w:cs="Times New Roman"/>
          <w:sz w:val="24"/>
          <w:szCs w:val="24"/>
        </w:rPr>
      </w:pPr>
    </w:p>
    <w:p w:rsidR="0064265F" w:rsidRDefault="0064265F" w:rsidP="002D25AA">
      <w:pPr>
        <w:pStyle w:val="21"/>
        <w:shd w:val="clear" w:color="auto" w:fill="auto"/>
        <w:spacing w:before="0" w:line="240" w:lineRule="auto"/>
        <w:ind w:firstLine="709"/>
        <w:rPr>
          <w:rFonts w:ascii="Times New Roman" w:hAnsi="Times New Roman" w:cs="Times New Roman"/>
          <w:sz w:val="24"/>
          <w:szCs w:val="24"/>
        </w:rPr>
      </w:pPr>
    </w:p>
    <w:p w:rsidR="002D25AA" w:rsidRDefault="002D25AA" w:rsidP="002D25AA">
      <w:pPr>
        <w:pStyle w:val="21"/>
        <w:shd w:val="clear" w:color="auto" w:fill="auto"/>
        <w:spacing w:before="0" w:line="240" w:lineRule="auto"/>
        <w:ind w:firstLine="709"/>
        <w:rPr>
          <w:rFonts w:ascii="Times New Roman" w:hAnsi="Times New Roman" w:cs="Times New Roman"/>
          <w:sz w:val="24"/>
          <w:szCs w:val="24"/>
        </w:rPr>
      </w:pPr>
    </w:p>
    <w:p w:rsidR="002D25AA" w:rsidRDefault="002D25AA" w:rsidP="002D25AA">
      <w:pPr>
        <w:pStyle w:val="21"/>
        <w:shd w:val="clear" w:color="auto" w:fill="auto"/>
        <w:spacing w:before="0" w:line="240" w:lineRule="auto"/>
        <w:ind w:firstLine="709"/>
        <w:rPr>
          <w:rFonts w:ascii="Times New Roman" w:hAnsi="Times New Roman" w:cs="Times New Roman"/>
          <w:sz w:val="24"/>
          <w:szCs w:val="24"/>
        </w:rPr>
      </w:pPr>
    </w:p>
    <w:p w:rsidR="0064265F" w:rsidRPr="002D25AA" w:rsidRDefault="002D25AA" w:rsidP="002D25AA">
      <w:pPr>
        <w:pStyle w:val="21"/>
        <w:shd w:val="clear" w:color="auto" w:fill="auto"/>
        <w:spacing w:before="0" w:line="240" w:lineRule="auto"/>
        <w:ind w:firstLine="709"/>
        <w:jc w:val="center"/>
        <w:rPr>
          <w:rFonts w:ascii="Times New Roman" w:hAnsi="Times New Roman" w:cs="Times New Roman"/>
          <w:b/>
          <w:sz w:val="28"/>
          <w:szCs w:val="28"/>
        </w:rPr>
      </w:pPr>
      <w:r w:rsidRPr="002D25AA">
        <w:rPr>
          <w:rFonts w:ascii="Times New Roman" w:hAnsi="Times New Roman" w:cs="Times New Roman"/>
          <w:b/>
          <w:sz w:val="28"/>
          <w:szCs w:val="28"/>
        </w:rPr>
        <w:t>Ответственность за н</w:t>
      </w:r>
      <w:r w:rsidR="0064265F" w:rsidRPr="002D25AA">
        <w:rPr>
          <w:rFonts w:ascii="Times New Roman" w:hAnsi="Times New Roman" w:cs="Times New Roman"/>
          <w:b/>
          <w:sz w:val="28"/>
          <w:szCs w:val="28"/>
        </w:rPr>
        <w:t xml:space="preserve">езаконное проникновение </w:t>
      </w:r>
      <w:r w:rsidRPr="002D25AA">
        <w:rPr>
          <w:rFonts w:ascii="Times New Roman" w:hAnsi="Times New Roman" w:cs="Times New Roman"/>
          <w:b/>
          <w:sz w:val="28"/>
          <w:szCs w:val="28"/>
        </w:rPr>
        <w:t>в жилище</w:t>
      </w:r>
    </w:p>
    <w:p w:rsidR="002D25AA" w:rsidRPr="00803611" w:rsidRDefault="002D25AA" w:rsidP="002D25AA">
      <w:pPr>
        <w:pStyle w:val="21"/>
        <w:shd w:val="clear" w:color="auto" w:fill="auto"/>
        <w:spacing w:before="0" w:line="240" w:lineRule="auto"/>
        <w:ind w:firstLine="709"/>
        <w:jc w:val="center"/>
        <w:rPr>
          <w:rFonts w:ascii="Times New Roman" w:hAnsi="Times New Roman" w:cs="Times New Roman"/>
          <w:b/>
          <w:sz w:val="24"/>
          <w:szCs w:val="24"/>
        </w:rPr>
      </w:pP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соответствии со ст.25 Конституции Российской Федерации жилище граждан неприкосновенно. Никто не вправе проникать в жилище против воли проживающих в нем лиц иначе как в случая, установленных федеральным законом, или на основании судебного решения. Это право является неотъемлемой частью более широкого права человека на неприкосновенность частной жизни, а ответственность за нарушение этого права предусматривается в ст.139 УК РФ «Нарушение неприкосновенности жилища». Сущность неприкосновенности жилища заключается в свободе любого незаконного, необоснованного проникновения в обитаемое жилое помещение.</w:t>
      </w:r>
    </w:p>
    <w:p w:rsidR="0064265F" w:rsidRPr="002D25AA" w:rsidRDefault="0064265F" w:rsidP="002D25AA">
      <w:pPr>
        <w:pStyle w:val="21"/>
        <w:tabs>
          <w:tab w:val="left" w:pos="905"/>
        </w:tabs>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Нарушение неприкосновенности жилища граждан закон квалифицирует как преступление по ст. 139 УК. Эта статья предусматривает также незаконное проникновение в жилище, совершенное с применением насилия или с угрозой его применения, а также совершение лицом с использованием своего служебного положения.</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Ответственность предусматривается за умышленное незаконное проникновение в жилище, в котором владелец может и не находиться (быть в командировке, на лечении), совершенное против воли проживающего в нем лица. Если же кто-то оказался в чужом жилище по ошибке или недоразумению, ответственность исключается. За нарушение неприкосновенности жилища отвечают как должностные лица, так и частные (например, соседи), достигшие 16 лет.</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Не является преступлением действие, хотя и подпадающее под признаки ст. 139 УК, но совершенное в состоянии крайней необходимости, т.е. для устранения опасности, непосредственно угрожающей личности,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(ч. 1 ст. 39 УК). Например, пожарники могут нарушать неприкосновенность жилого помещения для тушения огня.</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Если лицо вторглось в жилище с применением насилия (над владельцем, его родственниками, знакомыми и др.), оно помимо ответственности за нарушение неприкосновенности жилища подлежит ответственности за соответствующее насилие по статьям УК о преступлениях против личности (телесные повреждения, побои и т.п.). Проникновение в жилище с целью похищения находящегося в нем имущества наказывается как самостоятельное преступление - кража, грабеж или разбой (п. "в" ч. 2 ст. 158, п. "в" ч. 2 ст. 161, п. "в" ч. 2 ст. 162 УК) - и полностью охватывается этими преступлениями. В таких случаях ст. 139 УК не применяется.</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Ответственность за незаконное проникновение в жилище, совершенное против воли проживающего в нем лица, установлена в ч.1 ст. 139 УК РФ. Объектом этого преступления является право человека на неприкосновенность жилища, закрепленное в ст.25 Конституции РФ.</w:t>
      </w:r>
    </w:p>
    <w:p w:rsid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Таким образом, основным признаком, характеризующим жилище, в российском уголовном праве является предназначенность помещения или строения для проживания. </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самом общем смысле «проникнуть в жилище» означает попасть внутрь этого жилища. Слова «проникновение» и «вторжение» в судебной практике с полным основанием используются как синонимы. Проникновение, указывается в постановлении Пленума Верховного Суда СССР 1984 года, это «тайное или открытое вторжение в помещение, иное хранилище или жилище». Проникновением является, прежде всего, вхождение в жилище через дверь, но также и иными способами, например через окно или балкон. Установку в жилище специальных технических средств для негласного наблюдения за проживающими следует рассматривать как проникновение в жилище в тех случаях, когда виновные непосредственно вторгались в жилое помещение. Если же подслушивающее или подглядывающее устройство было размещено без фактического вхождения в жилое помещение, например через «вытяжку» из квартиры, расположенной выше или ниже, состав незаконного проникновения в жилище отсутствует, а действия виновных, исходя из направленности умысла, могут быть квалифицированы при наличии необходимых для этого условий по ст.137 УК РФ. Если же преступник незаконно проник в чужое жилище с целью сбора сведений о частной жизни живущего в нем, его действия необходимо квалифицировать по совокупности нарушения неприкосновенности жилища и покушения на нарушение неприкосновенности частной жизни.</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Согласно ст. 25 Конституции РФ проникновение в чужое жилище против воли проживающих в нем лиц всегда является незаконным, за исключением тех случаев, когда возможность проникновения установлена федеральными законами. Из данной конституционной нормы вытекают два весьма важных обстоятельства для правоприменительной практики: право на вторжение в жилище не может устанавливаться иными нормативно-правовыми актами, кроме закона, в частности постановлениями Правительства и отдельных ведомств, а также законами субъектов Российской Федерации[3]. </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Если лицо вошло в помещение на законном основании, а затем отказывается его покинуть, основания для его привлечения к ответственности по ст. 139 УК РФ отсутствуют. Однако если лицо вошло в жилое помещение, например для поливки цветов, по просьбе хозяина в момент его командировки, и с помощью установленных камер наблюдения стало известно, что лицо стало проживать в нем, без разрешения на то собственника, т. е. против воли проживающего лица, данные действия можно квалифицировать как нарушение неприкосновенности жилища. </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Уголовно наказуемым признается проникновение, совершенное любым из возможных способов - путем принуждения и насильственных действий, угрозы, хитрости, ловкости, обмана, использования своего служебного положения или специальных инструментов.</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диспозиции данной нормы содержится указание о том, что наказуемые действия должны совершаться против воли лица, которое в помещении проживает. На практике установление этого признака вызывало определенные вопросы. На самом деле, следовало ли правоприменителю усматривать состав преступления в случаях, когда в момент проникновения в помещение люди в нем отсутствовали? Или - присутствовали, но не «проживающие» в помещении, например гости или так называемые домашние работники (личный секретарь, няня и т.п.)? Или, наконец, в случаях, когда виновный действовал «против воли» некоторых лиц от числа всех проживающих в помещении?</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 xml:space="preserve">Дело в том, что правило, сформулированное в Конституции, разумно основано на формуле «или - или»: проникновение в жилище допускается по велению закона или с согласия проживающего лица; Конституция запрещает проникать в жилище против воли проживающих в нем лиц «иначе как в случаях, установленных федеральными законами...». Вопреки Конституции уголовный закон без необходимости обязывал правоприменителя устанавливать оба признака[4]. </w:t>
      </w:r>
    </w:p>
    <w:p w:rsidR="0064265F" w:rsidRPr="002D25AA"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В настоящее время в связи с введением в действие УПК РФ дела о преступлениях, предусмотренных ч. 1 ст. 139 УК РФ, возбуждаются не иначе как по заявлению потерпевшего. Обязанность уголовного преследования в публичном порядке сохранена лишь для тех случаев, когда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(ст. 20 УПК РФ). Таким образом, то обстоятельство, что виновный действовал против воли проживающего лица, отныне по большинству дел должно усматриваться из самого факта обращения с заявлением о привлечении к уголовной ответственности.</w:t>
      </w:r>
    </w:p>
    <w:p w:rsidR="0064265F" w:rsidRDefault="0064265F" w:rsidP="002D25AA">
      <w:pPr>
        <w:pStyle w:val="21"/>
        <w:spacing w:before="0" w:line="240" w:lineRule="auto"/>
        <w:ind w:firstLine="709"/>
        <w:rPr>
          <w:rFonts w:ascii="Times New Roman" w:hAnsi="Times New Roman" w:cs="Times New Roman"/>
          <w:sz w:val="28"/>
          <w:szCs w:val="28"/>
        </w:rPr>
      </w:pPr>
      <w:r w:rsidRPr="002D25AA">
        <w:rPr>
          <w:rFonts w:ascii="Times New Roman" w:hAnsi="Times New Roman" w:cs="Times New Roman"/>
          <w:sz w:val="28"/>
          <w:szCs w:val="28"/>
        </w:rPr>
        <w:t>Субъектом незаконного проникновения в жилище является любое вменяемое лицо, достигшее ко времени совершения преступления 16-летнего возраста, а вина предполагается в форме прямого умысла. Цель проникновения на квалификацию анализируемого преступления не влияет. Однако если цель свидетельствует о приготовлении к совершению какого-либо преступления (например, убийства, захвата заложника), то содеянное следует квалифицировать по правилам совокупности преступлений.</w:t>
      </w:r>
    </w:p>
    <w:p w:rsidR="002D25AA" w:rsidRDefault="002D25AA" w:rsidP="002D25AA">
      <w:pPr>
        <w:pStyle w:val="21"/>
        <w:spacing w:before="0" w:line="240" w:lineRule="auto"/>
        <w:ind w:firstLine="709"/>
        <w:rPr>
          <w:rFonts w:ascii="Times New Roman" w:hAnsi="Times New Roman" w:cs="Times New Roman"/>
          <w:sz w:val="28"/>
          <w:szCs w:val="28"/>
        </w:rPr>
      </w:pPr>
    </w:p>
    <w:p w:rsidR="002D25AA" w:rsidRDefault="002D25AA" w:rsidP="002D25AA">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Разъяснение подготовил:</w:t>
      </w:r>
    </w:p>
    <w:p w:rsidR="002D25AA" w:rsidRDefault="002D25AA" w:rsidP="002D25AA">
      <w:pPr>
        <w:pStyle w:val="21"/>
        <w:spacing w:before="0" w:line="240" w:lineRule="auto"/>
        <w:rPr>
          <w:rFonts w:ascii="Times New Roman" w:hAnsi="Times New Roman" w:cs="Times New Roman"/>
          <w:sz w:val="28"/>
          <w:szCs w:val="28"/>
        </w:rPr>
      </w:pPr>
    </w:p>
    <w:p w:rsidR="002D25AA" w:rsidRDefault="002D25AA" w:rsidP="002D25AA">
      <w:pPr>
        <w:pStyle w:val="21"/>
        <w:spacing w:before="0" w:line="240" w:lineRule="auto"/>
        <w:rPr>
          <w:rFonts w:ascii="Times New Roman" w:hAnsi="Times New Roman" w:cs="Times New Roman"/>
          <w:sz w:val="28"/>
          <w:szCs w:val="28"/>
        </w:rPr>
      </w:pPr>
    </w:p>
    <w:p w:rsidR="002D25AA" w:rsidRDefault="002D25AA" w:rsidP="002D25AA">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Помошник Лискинского </w:t>
      </w:r>
    </w:p>
    <w:p w:rsidR="002D25AA" w:rsidRPr="002D25AA" w:rsidRDefault="002D25AA" w:rsidP="002D25AA">
      <w:pPr>
        <w:pStyle w:val="21"/>
        <w:spacing w:before="0" w:line="240" w:lineRule="auto"/>
        <w:rPr>
          <w:rFonts w:ascii="Times New Roman" w:hAnsi="Times New Roman" w:cs="Times New Roman"/>
          <w:sz w:val="28"/>
          <w:szCs w:val="28"/>
        </w:rPr>
      </w:pPr>
      <w:r>
        <w:rPr>
          <w:rFonts w:ascii="Times New Roman" w:hAnsi="Times New Roman" w:cs="Times New Roman"/>
          <w:sz w:val="28"/>
          <w:szCs w:val="28"/>
        </w:rPr>
        <w:t xml:space="preserve">межрайонного 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Рудаков</w:t>
      </w:r>
    </w:p>
    <w:sectPr w:rsidR="002D25AA" w:rsidRPr="002D25AA" w:rsidSect="002D25AA">
      <w:headerReference w:type="default" r:id="rId7"/>
      <w:type w:val="continuous"/>
      <w:pgSz w:w="11909" w:h="16838"/>
      <w:pgMar w:top="1134" w:right="567" w:bottom="1134"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7889" w:rsidRDefault="00D97889" w:rsidP="003A0EEF">
      <w:r>
        <w:separator/>
      </w:r>
    </w:p>
  </w:endnote>
  <w:endnote w:type="continuationSeparator" w:id="0">
    <w:p w:rsidR="00D97889" w:rsidRDefault="00D97889" w:rsidP="003A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7889" w:rsidRDefault="00D97889"/>
  </w:footnote>
  <w:footnote w:type="continuationSeparator" w:id="0">
    <w:p w:rsidR="00D97889" w:rsidRDefault="00D97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04C53" w:rsidRDefault="00BF5B4B">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3760470</wp:posOffset>
              </wp:positionH>
              <wp:positionV relativeFrom="page">
                <wp:posOffset>610870</wp:posOffset>
              </wp:positionV>
              <wp:extent cx="54610" cy="91440"/>
              <wp:effectExtent l="0" t="1270" r="4445" b="2540"/>
              <wp:wrapNone/>
              <wp:docPr id="2948568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C53" w:rsidRDefault="00504C53">
                          <w:pPr>
                            <w:pStyle w:val="1"/>
                            <w:shd w:val="clear" w:color="auto" w:fill="auto"/>
                            <w:spacing w:line="240" w:lineRule="auto"/>
                          </w:pPr>
                          <w:r>
                            <w:fldChar w:fldCharType="begin"/>
                          </w:r>
                          <w:r>
                            <w:instrText xml:space="preserve"> PAGE \* MERGEFORMAT </w:instrText>
                          </w:r>
                          <w:r>
                            <w:fldChar w:fldCharType="separate"/>
                          </w:r>
                          <w:r w:rsidR="002D25AA" w:rsidRPr="002D25AA">
                            <w:rPr>
                              <w:rStyle w:val="a6"/>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1pt;margin-top:48.1pt;width:4.3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" filled="f" stroked="f">
              <v:textbox style="mso-fit-shape-to-text:t" inset="0,0,0,0">
                <w:txbxContent>
                  <w:p w:rsidR="00504C53" w:rsidRDefault="00504C53">
                    <w:pPr>
                      <w:pStyle w:val="1"/>
                      <w:shd w:val="clear" w:color="auto" w:fill="auto"/>
                      <w:spacing w:line="240" w:lineRule="auto"/>
                    </w:pPr>
                    <w:r>
                      <w:fldChar w:fldCharType="begin"/>
                    </w:r>
                    <w:r>
                      <w:instrText xml:space="preserve"> PAGE \* MERGEFORMAT </w:instrText>
                    </w:r>
                    <w:r>
                      <w:fldChar w:fldCharType="separate"/>
                    </w:r>
                    <w:r w:rsidR="002D25AA" w:rsidRPr="002D25AA">
                      <w:rPr>
                        <w:rStyle w:val="a6"/>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53B4"/>
    <w:multiLevelType w:val="multilevel"/>
    <w:tmpl w:val="FFFFFFFF"/>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2116514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EF"/>
    <w:rsid w:val="000A642D"/>
    <w:rsid w:val="001219F9"/>
    <w:rsid w:val="00135F98"/>
    <w:rsid w:val="001C1011"/>
    <w:rsid w:val="002D25AA"/>
    <w:rsid w:val="003470E1"/>
    <w:rsid w:val="003A0EEF"/>
    <w:rsid w:val="003F3F38"/>
    <w:rsid w:val="003F768C"/>
    <w:rsid w:val="00504C53"/>
    <w:rsid w:val="0064265F"/>
    <w:rsid w:val="00735173"/>
    <w:rsid w:val="00803611"/>
    <w:rsid w:val="008E324C"/>
    <w:rsid w:val="00937286"/>
    <w:rsid w:val="009A585F"/>
    <w:rsid w:val="009C2231"/>
    <w:rsid w:val="00A308CC"/>
    <w:rsid w:val="00A92D95"/>
    <w:rsid w:val="00BF5B4B"/>
    <w:rsid w:val="00C719F5"/>
    <w:rsid w:val="00D548F5"/>
    <w:rsid w:val="00D97889"/>
    <w:rsid w:val="00E5533D"/>
    <w:rsid w:val="00E8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42A831D2-017F-4B24-8E40-D041C4D4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imes New Roman" w:hAnsi="Courier New" w:cs="Times New Roman"/>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EEF"/>
    <w:pPr>
      <w:widowControl w:val="0"/>
      <w:spacing w:after="0" w:line="240" w:lineRule="auto"/>
    </w:pPr>
    <w:rPr>
      <w:rFonts w:cs="Courier New"/>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0EEF"/>
    <w:rPr>
      <w:rFonts w:cs="Times New Roman"/>
      <w:color w:val="000080"/>
      <w:u w:val="single"/>
    </w:rPr>
  </w:style>
  <w:style w:type="character" w:customStyle="1" w:styleId="2">
    <w:name w:val="Основной текст (2)_"/>
    <w:basedOn w:val="a0"/>
    <w:link w:val="20"/>
    <w:uiPriority w:val="99"/>
    <w:locked/>
    <w:rsid w:val="003A0EEF"/>
    <w:rPr>
      <w:rFonts w:ascii="Calibri" w:hAnsi="Calibri" w:cs="Calibri"/>
      <w:sz w:val="22"/>
      <w:szCs w:val="22"/>
      <w:u w:val="none"/>
    </w:rPr>
  </w:style>
  <w:style w:type="character" w:customStyle="1" w:styleId="a4">
    <w:name w:val="Основной текст_"/>
    <w:basedOn w:val="a0"/>
    <w:link w:val="21"/>
    <w:uiPriority w:val="99"/>
    <w:locked/>
    <w:rsid w:val="003A0EEF"/>
    <w:rPr>
      <w:rFonts w:ascii="Calibri" w:hAnsi="Calibri" w:cs="Calibri"/>
      <w:sz w:val="21"/>
      <w:szCs w:val="21"/>
      <w:u w:val="none"/>
    </w:rPr>
  </w:style>
  <w:style w:type="character" w:customStyle="1" w:styleId="a5">
    <w:name w:val="Колонтитул_"/>
    <w:basedOn w:val="a0"/>
    <w:link w:val="1"/>
    <w:uiPriority w:val="99"/>
    <w:locked/>
    <w:rsid w:val="003A0EEF"/>
    <w:rPr>
      <w:rFonts w:ascii="Calibri" w:hAnsi="Calibri" w:cs="Calibri"/>
      <w:sz w:val="20"/>
      <w:szCs w:val="20"/>
      <w:u w:val="none"/>
    </w:rPr>
  </w:style>
  <w:style w:type="character" w:customStyle="1" w:styleId="a6">
    <w:name w:val="Колонтитул"/>
    <w:basedOn w:val="a5"/>
    <w:uiPriority w:val="99"/>
    <w:rsid w:val="003A0EEF"/>
    <w:rPr>
      <w:rFonts w:ascii="Calibri" w:hAnsi="Calibri" w:cs="Calibri"/>
      <w:color w:val="000000"/>
      <w:spacing w:val="0"/>
      <w:w w:val="100"/>
      <w:position w:val="0"/>
      <w:sz w:val="20"/>
      <w:szCs w:val="20"/>
      <w:u w:val="none"/>
    </w:rPr>
  </w:style>
  <w:style w:type="character" w:customStyle="1" w:styleId="10">
    <w:name w:val="Основной текст1"/>
    <w:basedOn w:val="a4"/>
    <w:uiPriority w:val="99"/>
    <w:rsid w:val="003A0EEF"/>
    <w:rPr>
      <w:rFonts w:ascii="Calibri" w:hAnsi="Calibri" w:cs="Calibri"/>
      <w:color w:val="000000"/>
      <w:spacing w:val="0"/>
      <w:w w:val="100"/>
      <w:position w:val="0"/>
      <w:sz w:val="21"/>
      <w:szCs w:val="21"/>
      <w:u w:val="none"/>
      <w:lang w:val="ru-RU" w:eastAsia="x-none"/>
    </w:rPr>
  </w:style>
  <w:style w:type="character" w:customStyle="1" w:styleId="TrebuchetMS">
    <w:name w:val="Основной текст + Trebuchet MS"/>
    <w:aliases w:val="9,5 pt,Курсив"/>
    <w:basedOn w:val="a4"/>
    <w:uiPriority w:val="99"/>
    <w:rsid w:val="003A0EEF"/>
    <w:rPr>
      <w:rFonts w:ascii="Trebuchet MS" w:hAnsi="Trebuchet MS" w:cs="Trebuchet MS"/>
      <w:i/>
      <w:iCs/>
      <w:color w:val="000000"/>
      <w:spacing w:val="0"/>
      <w:w w:val="100"/>
      <w:position w:val="0"/>
      <w:sz w:val="19"/>
      <w:szCs w:val="19"/>
      <w:u w:val="none"/>
      <w:lang w:val="ru-RU" w:eastAsia="x-none"/>
    </w:rPr>
  </w:style>
  <w:style w:type="paragraph" w:customStyle="1" w:styleId="20">
    <w:name w:val="Основной текст (2)"/>
    <w:basedOn w:val="a"/>
    <w:link w:val="2"/>
    <w:uiPriority w:val="99"/>
    <w:rsid w:val="003A0EEF"/>
    <w:pPr>
      <w:shd w:val="clear" w:color="auto" w:fill="FFFFFF"/>
      <w:spacing w:after="60" w:line="240" w:lineRule="atLeast"/>
      <w:ind w:firstLine="540"/>
      <w:jc w:val="both"/>
    </w:pPr>
    <w:rPr>
      <w:rFonts w:ascii="Calibri" w:hAnsi="Calibri" w:cs="Calibri"/>
      <w:sz w:val="22"/>
      <w:szCs w:val="22"/>
    </w:rPr>
  </w:style>
  <w:style w:type="paragraph" w:customStyle="1" w:styleId="21">
    <w:name w:val="Основной текст2"/>
    <w:basedOn w:val="a"/>
    <w:link w:val="a4"/>
    <w:uiPriority w:val="99"/>
    <w:rsid w:val="003A0EEF"/>
    <w:pPr>
      <w:shd w:val="clear" w:color="auto" w:fill="FFFFFF"/>
      <w:spacing w:before="300" w:line="264" w:lineRule="exact"/>
      <w:jc w:val="both"/>
    </w:pPr>
    <w:rPr>
      <w:rFonts w:ascii="Calibri" w:hAnsi="Calibri" w:cs="Calibri"/>
      <w:sz w:val="21"/>
      <w:szCs w:val="21"/>
    </w:rPr>
  </w:style>
  <w:style w:type="paragraph" w:customStyle="1" w:styleId="1">
    <w:name w:val="Колонтитул1"/>
    <w:basedOn w:val="a"/>
    <w:link w:val="a5"/>
    <w:uiPriority w:val="99"/>
    <w:rsid w:val="003A0EEF"/>
    <w:pPr>
      <w:shd w:val="clear" w:color="auto" w:fill="FFFFFF"/>
      <w:spacing w:line="240" w:lineRule="atLeas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2279</Words>
  <Characters>12993</Characters>
  <Application>Microsoft Office Word</Application>
  <DocSecurity>0</DocSecurity>
  <Lines>108</Lines>
  <Paragraphs>30</Paragraphs>
  <ScaleCrop>false</ScaleCrop>
  <Company>--</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за немедицинское потребление наркотиков</dc:title>
  <dc:subject/>
  <dc:creator>-</dc:creator>
  <cp:keywords/>
  <dc:description/>
  <cp:lastModifiedBy>Иван Соколов</cp:lastModifiedBy>
  <cp:revision>2</cp:revision>
  <cp:lastPrinted>2014-10-23T06:24:00Z</cp:lastPrinted>
  <dcterms:created xsi:type="dcterms:W3CDTF">2025-02-07T06:09:00Z</dcterms:created>
  <dcterms:modified xsi:type="dcterms:W3CDTF">2025-02-07T06:09:00Z</dcterms:modified>
</cp:coreProperties>
</file>